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C1C94">
        <w:rPr>
          <w:rFonts w:ascii="Times New Roman" w:hAnsi="Times New Roman" w:cs="Times New Roman"/>
          <w:b/>
          <w:sz w:val="20"/>
          <w:szCs w:val="20"/>
        </w:rPr>
        <w:t>3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56211C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11C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211C" w:rsidRPr="00526065" w:rsidRDefault="0056211C" w:rsidP="00562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7BFD" w:rsidRDefault="00017BFD" w:rsidP="00017B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017BFD" w:rsidRDefault="00017BFD" w:rsidP="00017B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2C1C94" w:rsidRDefault="002C1C94" w:rsidP="002C1C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</w:t>
      </w:r>
      <w:r w:rsidR="002D0DE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D0DE6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2D0DE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C1C94" w:rsidRDefault="002C1C94" w:rsidP="002C1C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2C1C94" w:rsidRDefault="002C1C94" w:rsidP="002C1C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>
          <w:rPr>
            <w:rFonts w:ascii="Times New Roman" w:hAnsi="Times New Roman" w:cs="Times New Roman"/>
            <w:sz w:val="20"/>
            <w:szCs w:val="20"/>
          </w:rPr>
          <w:t>443068, г</w:t>
        </w:r>
      </w:smartTag>
      <w:r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2C1C94" w:rsidRDefault="002C1C94" w:rsidP="002C1C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443093, г. Самара,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7А: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</w:t>
      </w:r>
      <w:r w:rsidR="002D0DE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D0DE6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2D0DE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C0F5F" w:rsidRPr="00EB6E9F" w:rsidRDefault="003C0F5F" w:rsidP="003C0F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C1C94">
        <w:rPr>
          <w:rFonts w:ascii="Times New Roman" w:hAnsi="Times New Roman" w:cs="Times New Roman"/>
          <w:b/>
          <w:sz w:val="20"/>
          <w:szCs w:val="20"/>
        </w:rPr>
        <w:t>3</w:t>
      </w:r>
      <w:r w:rsidRPr="00526065">
        <w:rPr>
          <w:rFonts w:ascii="Times New Roman" w:hAnsi="Times New Roman" w:cs="Times New Roman"/>
          <w:b/>
          <w:sz w:val="20"/>
          <w:szCs w:val="20"/>
        </w:rPr>
        <w:t>.</w:t>
      </w:r>
      <w:r w:rsidRPr="00526065">
        <w:rPr>
          <w:rFonts w:ascii="Times New Roman" w:hAnsi="Times New Roman" w:cs="Times New Roman"/>
          <w:sz w:val="20"/>
          <w:szCs w:val="20"/>
        </w:rPr>
        <w:t xml:space="preserve"> Распределение прибыли общества по итогам работы за 201</w:t>
      </w:r>
      <w:r w:rsidR="002D0DE6">
        <w:rPr>
          <w:rFonts w:ascii="Times New Roman" w:hAnsi="Times New Roman" w:cs="Times New Roman"/>
          <w:sz w:val="20"/>
          <w:szCs w:val="20"/>
        </w:rPr>
        <w:t>9</w:t>
      </w:r>
      <w:r w:rsidRPr="00526065">
        <w:rPr>
          <w:rFonts w:ascii="Times New Roman" w:hAnsi="Times New Roman" w:cs="Times New Roman"/>
          <w:sz w:val="20"/>
          <w:szCs w:val="20"/>
        </w:rPr>
        <w:t xml:space="preserve"> год. О дивидендах.</w:t>
      </w:r>
    </w:p>
    <w:p w:rsidR="0056211C" w:rsidRPr="00891F5A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56211C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 для проставле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ния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голосов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6211C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2D0DE6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DE6">
              <w:rPr>
                <w:rFonts w:ascii="Times New Roman" w:hAnsi="Times New Roman" w:cs="Times New Roman"/>
                <w:sz w:val="20"/>
                <w:szCs w:val="20"/>
              </w:rPr>
              <w:t>Распределить прибыль общества по итогам работы за 201</w:t>
            </w:r>
            <w:r w:rsidR="002D0DE6" w:rsidRPr="002D0D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3952" w:rsidRPr="002D0D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2D0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A6E" w:rsidRPr="002D0DE6">
              <w:rPr>
                <w:rFonts w:ascii="Times New Roman" w:hAnsi="Times New Roman" w:cs="Times New Roman"/>
                <w:sz w:val="20"/>
                <w:szCs w:val="20"/>
              </w:rPr>
              <w:t xml:space="preserve">в сумме </w:t>
            </w:r>
            <w:r w:rsidR="002D0DE6" w:rsidRPr="002D0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1C94" w:rsidRPr="002D0DE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D0DE6" w:rsidRPr="002D0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1C94" w:rsidRPr="002D0DE6">
              <w:rPr>
                <w:rFonts w:ascii="Times New Roman" w:hAnsi="Times New Roman" w:cs="Times New Roman"/>
                <w:sz w:val="20"/>
                <w:szCs w:val="20"/>
              </w:rPr>
              <w:t>89 </w:t>
            </w:r>
            <w:r w:rsidR="002D0DE6" w:rsidRPr="002D0D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1C94" w:rsidRPr="002D0DE6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4F1A6E" w:rsidRPr="002D0DE6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  <w:r w:rsidRPr="002D0DE6">
              <w:rPr>
                <w:rFonts w:ascii="Times New Roman" w:hAnsi="Times New Roman" w:cs="Times New Roman"/>
                <w:sz w:val="20"/>
                <w:szCs w:val="20"/>
              </w:rPr>
              <w:t>и объявить дивиденды за 201</w:t>
            </w:r>
            <w:r w:rsidR="002D0DE6" w:rsidRPr="002D0D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0DE6">
              <w:rPr>
                <w:rFonts w:ascii="Times New Roman" w:hAnsi="Times New Roman" w:cs="Times New Roman"/>
                <w:sz w:val="20"/>
                <w:szCs w:val="20"/>
              </w:rPr>
              <w:t xml:space="preserve">г. в сумме </w:t>
            </w:r>
            <w:r w:rsidR="002D0DE6" w:rsidRPr="002D0D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1C94" w:rsidRPr="002D0D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0DE6" w:rsidRPr="002D0DE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2D0DE6">
              <w:rPr>
                <w:rFonts w:ascii="Times New Roman" w:hAnsi="Times New Roman" w:cs="Times New Roman"/>
                <w:sz w:val="20"/>
                <w:szCs w:val="20"/>
              </w:rPr>
              <w:t xml:space="preserve"> рублей на одну обыкновенную акцию, определить датой списка лиц, имеющих право на получение дивидендов, </w:t>
            </w:r>
            <w:r w:rsidR="000C347D" w:rsidRPr="002D0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1C94" w:rsidRPr="002D0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0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DE6" w:rsidRPr="002D0D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C347D" w:rsidRPr="002D0DE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D0DE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D0DE6" w:rsidRPr="002D0D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0DE6">
              <w:rPr>
                <w:rFonts w:ascii="Times New Roman" w:hAnsi="Times New Roman" w:cs="Times New Roman"/>
                <w:sz w:val="20"/>
                <w:szCs w:val="20"/>
              </w:rPr>
              <w:t xml:space="preserve"> года и выплатить  </w:t>
            </w:r>
            <w:r w:rsidR="002D0DE6" w:rsidRPr="002D0DE6">
              <w:rPr>
                <w:rFonts w:ascii="Times New Roman" w:hAnsi="Times New Roman" w:cs="Times New Roman"/>
                <w:sz w:val="20"/>
                <w:szCs w:val="20"/>
              </w:rPr>
              <w:t>их в течение 25 рабочих дней с 26 мая 2020г.</w:t>
            </w:r>
            <w:proofErr w:type="gramEnd"/>
            <w:r w:rsidR="002D0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Форма выплаты доходов - денежная.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56211C" w:rsidRPr="00EB6E9F" w:rsidRDefault="0056211C" w:rsidP="0056211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56211C" w:rsidRPr="00EB6E9F" w:rsidRDefault="0056211C" w:rsidP="0056211C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17BFD"/>
    <w:rsid w:val="000A4B91"/>
    <w:rsid w:val="000C347D"/>
    <w:rsid w:val="0013572C"/>
    <w:rsid w:val="00141C96"/>
    <w:rsid w:val="001C1FD0"/>
    <w:rsid w:val="0024230A"/>
    <w:rsid w:val="002B1FBC"/>
    <w:rsid w:val="002C1C94"/>
    <w:rsid w:val="002D0DE6"/>
    <w:rsid w:val="003C066B"/>
    <w:rsid w:val="003C0F5F"/>
    <w:rsid w:val="004939ED"/>
    <w:rsid w:val="004F1A6E"/>
    <w:rsid w:val="00526065"/>
    <w:rsid w:val="00546B4E"/>
    <w:rsid w:val="00560E01"/>
    <w:rsid w:val="0056211C"/>
    <w:rsid w:val="00610DAE"/>
    <w:rsid w:val="006169EE"/>
    <w:rsid w:val="006329FA"/>
    <w:rsid w:val="006621F1"/>
    <w:rsid w:val="00771A02"/>
    <w:rsid w:val="00851BBC"/>
    <w:rsid w:val="00891F5A"/>
    <w:rsid w:val="008E4A13"/>
    <w:rsid w:val="008F5ADD"/>
    <w:rsid w:val="009C7385"/>
    <w:rsid w:val="00A3440F"/>
    <w:rsid w:val="00A6237C"/>
    <w:rsid w:val="00B002D0"/>
    <w:rsid w:val="00B6072B"/>
    <w:rsid w:val="00B9251B"/>
    <w:rsid w:val="00C02DA4"/>
    <w:rsid w:val="00C05FBF"/>
    <w:rsid w:val="00C75F12"/>
    <w:rsid w:val="00C83841"/>
    <w:rsid w:val="00CB4E19"/>
    <w:rsid w:val="00CC53E4"/>
    <w:rsid w:val="00CE68F2"/>
    <w:rsid w:val="00CF4F11"/>
    <w:rsid w:val="00D83952"/>
    <w:rsid w:val="00D8666B"/>
    <w:rsid w:val="00DB5FB2"/>
    <w:rsid w:val="00DD417F"/>
    <w:rsid w:val="00E15018"/>
    <w:rsid w:val="00EB6E9F"/>
    <w:rsid w:val="00EE2299"/>
    <w:rsid w:val="00F0240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12</cp:revision>
  <cp:lastPrinted>2020-04-06T09:37:00Z</cp:lastPrinted>
  <dcterms:created xsi:type="dcterms:W3CDTF">2017-03-23T12:12:00Z</dcterms:created>
  <dcterms:modified xsi:type="dcterms:W3CDTF">2020-04-06T09:37:00Z</dcterms:modified>
</cp:coreProperties>
</file>